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5E9AF" w14:textId="77777777" w:rsidR="00084487" w:rsidRDefault="00084487"/>
    <w:p w14:paraId="3D975210" w14:textId="77777777" w:rsidR="00162B1E" w:rsidRDefault="00162B1E" w:rsidP="00162B1E">
      <w:pPr>
        <w:jc w:val="right"/>
      </w:pPr>
      <w:r>
        <w:t xml:space="preserve">Date: 21 September 2023 </w:t>
      </w:r>
    </w:p>
    <w:p w14:paraId="56199BAB" w14:textId="6EBE1865" w:rsidR="002B0D2F" w:rsidRDefault="001D33BF" w:rsidP="00084487">
      <w:r>
        <w:t xml:space="preserve">Sent via email: </w:t>
      </w:r>
      <w:r w:rsidR="007401BA" w:rsidRPr="007401BA">
        <w:t xml:space="preserve">VoteReportingGroup@fca.org.uk.  </w:t>
      </w:r>
    </w:p>
    <w:p w14:paraId="5CABF177" w14:textId="77777777" w:rsidR="00162B1E" w:rsidRPr="00162B1E" w:rsidRDefault="00162B1E" w:rsidP="00162B1E">
      <w:pPr>
        <w:rPr>
          <w:rFonts w:ascii="Century Gothic" w:hAnsi="Century Gothic"/>
          <w:b/>
          <w:bCs/>
          <w:sz w:val="24"/>
          <w:szCs w:val="24"/>
        </w:rPr>
      </w:pPr>
      <w:r w:rsidRPr="00162B1E">
        <w:rPr>
          <w:rFonts w:ascii="Century Gothic" w:hAnsi="Century Gothic"/>
          <w:b/>
          <w:bCs/>
          <w:sz w:val="24"/>
          <w:szCs w:val="24"/>
        </w:rPr>
        <w:t>Brunel response - Vote Reporting: A consultation and discussion paper from the Vote Reporting Group</w:t>
      </w:r>
    </w:p>
    <w:p w14:paraId="0CE42996" w14:textId="77777777" w:rsidR="00FF0E72" w:rsidRDefault="00097460" w:rsidP="00084487">
      <w:r>
        <w:t xml:space="preserve">Brunel welcomes the opportunity to </w:t>
      </w:r>
      <w:r w:rsidR="0057692E">
        <w:t xml:space="preserve">provide comments </w:t>
      </w:r>
      <w:r>
        <w:t xml:space="preserve">on proposals intended to </w:t>
      </w:r>
      <w:r w:rsidR="00C10A6F">
        <w:t xml:space="preserve">standardise and </w:t>
      </w:r>
      <w:r>
        <w:t>raise the bar on vot</w:t>
      </w:r>
      <w:r w:rsidR="00EE6720">
        <w:t>e reporting</w:t>
      </w:r>
      <w:r>
        <w:t xml:space="preserve"> disclosures</w:t>
      </w:r>
      <w:r w:rsidR="00B75AB0">
        <w:t xml:space="preserve"> from asset managers. </w:t>
      </w:r>
    </w:p>
    <w:p w14:paraId="6022A1AF" w14:textId="1C0DE9E6" w:rsidR="0074280C" w:rsidRDefault="000778F8" w:rsidP="00084487">
      <w:r>
        <w:t xml:space="preserve">The implementation of vote decisions </w:t>
      </w:r>
      <w:r w:rsidR="00925B40">
        <w:t xml:space="preserve">that are aligned with asset owners’ broader stewardship efforts </w:t>
      </w:r>
      <w:r w:rsidR="008E2079">
        <w:t>is</w:t>
      </w:r>
      <w:r w:rsidR="00350894">
        <w:t xml:space="preserve"> critical </w:t>
      </w:r>
      <w:r w:rsidR="00D51CEC">
        <w:t xml:space="preserve">in the pursuit of </w:t>
      </w:r>
      <w:r w:rsidR="00D40504">
        <w:t>real-world</w:t>
      </w:r>
      <w:r w:rsidR="00D51CEC">
        <w:t xml:space="preserve"> outcome</w:t>
      </w:r>
      <w:r w:rsidR="00C457C3">
        <w:t>s</w:t>
      </w:r>
      <w:r w:rsidR="001A443A">
        <w:t xml:space="preserve"> and consequently, the </w:t>
      </w:r>
      <w:r w:rsidR="00782892">
        <w:t>long-term</w:t>
      </w:r>
      <w:r w:rsidR="001A443A">
        <w:t xml:space="preserve"> interests of the ultimate beneficiaries. </w:t>
      </w:r>
      <w:r w:rsidR="00782892">
        <w:t xml:space="preserve">Better standards of transparency </w:t>
      </w:r>
      <w:r w:rsidR="00CC6D55">
        <w:t xml:space="preserve">across the industry will enable asset owners to hold managers accountable </w:t>
      </w:r>
      <w:r w:rsidR="00E0550D">
        <w:t xml:space="preserve">on their voting activities </w:t>
      </w:r>
      <w:r w:rsidR="00B517B5">
        <w:t xml:space="preserve">and </w:t>
      </w:r>
      <w:r w:rsidR="00F37D66">
        <w:t xml:space="preserve">trigger </w:t>
      </w:r>
      <w:r w:rsidR="00B517B5">
        <w:t>dialogue</w:t>
      </w:r>
      <w:r w:rsidR="003155F4">
        <w:t xml:space="preserve"> on</w:t>
      </w:r>
      <w:r w:rsidR="00B517B5">
        <w:t xml:space="preserve"> </w:t>
      </w:r>
      <w:r w:rsidR="0062161B">
        <w:t xml:space="preserve">vote </w:t>
      </w:r>
      <w:r w:rsidR="00250B0B">
        <w:t>rationale</w:t>
      </w:r>
      <w:r w:rsidR="0062161B">
        <w:t>s</w:t>
      </w:r>
      <w:r w:rsidR="00A87B3C">
        <w:t xml:space="preserve">, </w:t>
      </w:r>
      <w:r w:rsidR="003851F8">
        <w:t>inconsistencies</w:t>
      </w:r>
      <w:r w:rsidR="0062161B">
        <w:t xml:space="preserve"> with </w:t>
      </w:r>
      <w:r w:rsidR="00F37D66">
        <w:t>manager</w:t>
      </w:r>
      <w:r w:rsidR="003155F4">
        <w:t>’s</w:t>
      </w:r>
      <w:r w:rsidR="00F37D66">
        <w:t xml:space="preserve"> </w:t>
      </w:r>
      <w:r w:rsidR="0062161B">
        <w:t xml:space="preserve">voting policy </w:t>
      </w:r>
      <w:r w:rsidR="0057015C">
        <w:t>(</w:t>
      </w:r>
      <w:r w:rsidR="0062161B">
        <w:t>and broader commitments</w:t>
      </w:r>
      <w:r w:rsidR="0057015C">
        <w:t>)</w:t>
      </w:r>
      <w:r w:rsidR="0062161B">
        <w:t xml:space="preserve"> and </w:t>
      </w:r>
      <w:r w:rsidR="00045BD1">
        <w:t xml:space="preserve">pathways for </w:t>
      </w:r>
      <w:r w:rsidR="003850D7">
        <w:t>voting escalation</w:t>
      </w:r>
      <w:r w:rsidR="0062161B">
        <w:t xml:space="preserve">. </w:t>
      </w:r>
    </w:p>
    <w:p w14:paraId="4624DCBF" w14:textId="42E46478" w:rsidR="00612731" w:rsidRDefault="001E0743" w:rsidP="00084487">
      <w:r>
        <w:t>Current industry practices</w:t>
      </w:r>
      <w:r w:rsidR="001D4680">
        <w:t xml:space="preserve"> on </w:t>
      </w:r>
      <w:r w:rsidR="0057015C">
        <w:t xml:space="preserve">vote </w:t>
      </w:r>
      <w:r w:rsidR="001D4680">
        <w:t>reporting</w:t>
      </w:r>
      <w:r>
        <w:t xml:space="preserve"> are trailing asset owner expectations</w:t>
      </w:r>
      <w:r w:rsidR="001D4680">
        <w:t xml:space="preserve"> – as highlighted in the discussion paper, there are issues around timelines of reporting</w:t>
      </w:r>
      <w:r w:rsidR="00AC1BD0">
        <w:t xml:space="preserve">, </w:t>
      </w:r>
      <w:r w:rsidR="006B7000">
        <w:t>information asymmetry</w:t>
      </w:r>
      <w:r w:rsidR="00AC1BD0">
        <w:t xml:space="preserve"> and comparability</w:t>
      </w:r>
      <w:r w:rsidR="009A2F6C">
        <w:t xml:space="preserve">. </w:t>
      </w:r>
      <w:r w:rsidR="00045BD1">
        <w:t>We,</w:t>
      </w:r>
      <w:r w:rsidR="009A2F6C">
        <w:t xml:space="preserve"> therefore, support the Vote Reporting Group’s</w:t>
      </w:r>
      <w:r w:rsidR="00462C8E">
        <w:t xml:space="preserve"> work in designing a template that c</w:t>
      </w:r>
      <w:r w:rsidR="003140D7">
        <w:t>an</w:t>
      </w:r>
      <w:r w:rsidR="00F578BA">
        <w:t xml:space="preserve"> remedy some of these historical issues</w:t>
      </w:r>
      <w:r w:rsidR="00462C8E">
        <w:t xml:space="preserve">. </w:t>
      </w:r>
      <w:r w:rsidR="00871E46">
        <w:t>Overall, we believe the template leverages existing reporting activities and balances practical feasibility with meeting information needs of asset owners.</w:t>
      </w:r>
      <w:r w:rsidR="00612731">
        <w:t xml:space="preserve"> </w:t>
      </w:r>
      <w:r w:rsidR="00B468B9">
        <w:t xml:space="preserve">Our high-level comments </w:t>
      </w:r>
      <w:r w:rsidR="000F5874">
        <w:t xml:space="preserve">below </w:t>
      </w:r>
      <w:r w:rsidR="0047582A">
        <w:t xml:space="preserve">capture our views on </w:t>
      </w:r>
      <w:r w:rsidR="0071488F">
        <w:t xml:space="preserve">some components of the </w:t>
      </w:r>
      <w:r w:rsidR="000F5874">
        <w:t>reporting template and</w:t>
      </w:r>
      <w:r w:rsidR="00256E3F">
        <w:t xml:space="preserve"> next steps </w:t>
      </w:r>
      <w:r w:rsidR="00F6043A">
        <w:t>with regards to dissemination and monitoring of the data disclosed</w:t>
      </w:r>
      <w:r w:rsidR="00612731">
        <w:t>:</w:t>
      </w:r>
    </w:p>
    <w:p w14:paraId="6A102061" w14:textId="354CE433" w:rsidR="000B1858" w:rsidRDefault="000B1858" w:rsidP="00612731">
      <w:pPr>
        <w:pStyle w:val="ListParagraph"/>
        <w:numPr>
          <w:ilvl w:val="0"/>
          <w:numId w:val="1"/>
        </w:numPr>
      </w:pPr>
      <w:r>
        <w:t xml:space="preserve">We support reporting of all votes cast on a quarterly basis. </w:t>
      </w:r>
      <w:r w:rsidR="003428E1">
        <w:t xml:space="preserve">This is </w:t>
      </w:r>
      <w:r w:rsidR="00086D94">
        <w:t>in line</w:t>
      </w:r>
      <w:r w:rsidR="003428E1">
        <w:t xml:space="preserve"> with standard client reporting timeframes. </w:t>
      </w:r>
    </w:p>
    <w:p w14:paraId="7D0DAA13" w14:textId="2353D568" w:rsidR="003F585A" w:rsidRDefault="003F585A" w:rsidP="003F585A">
      <w:pPr>
        <w:pStyle w:val="ListParagraph"/>
        <w:numPr>
          <w:ilvl w:val="0"/>
          <w:numId w:val="1"/>
        </w:numPr>
      </w:pPr>
      <w:r>
        <w:t>We would value both fund level and firm-level vote reporting disclosures to understand the divergence in approaches to voting at these levels (if any) and the level of alignment of voting decisions with</w:t>
      </w:r>
      <w:r w:rsidR="009F63EE">
        <w:t xml:space="preserve"> entity-level</w:t>
      </w:r>
      <w:r>
        <w:t xml:space="preserve"> responsible investment positions and ambitions. </w:t>
      </w:r>
    </w:p>
    <w:p w14:paraId="7ED565E3" w14:textId="44C4D9F0" w:rsidR="003851F8" w:rsidRDefault="002D2F8D" w:rsidP="008A281A">
      <w:pPr>
        <w:pStyle w:val="ListParagraph"/>
        <w:numPr>
          <w:ilvl w:val="0"/>
          <w:numId w:val="1"/>
        </w:numPr>
      </w:pPr>
      <w:r>
        <w:t xml:space="preserve">We agree with the </w:t>
      </w:r>
      <w:r w:rsidR="00DD3A6A">
        <w:t xml:space="preserve">proposed principles set out in the discussion paper </w:t>
      </w:r>
      <w:r w:rsidR="009E298C">
        <w:t xml:space="preserve">on </w:t>
      </w:r>
      <w:r w:rsidR="008A281A">
        <w:t>when a vote rationale is required.</w:t>
      </w:r>
      <w:r w:rsidR="00E32DA6">
        <w:t xml:space="preserve"> We support the inclusion of the standardised rationale category </w:t>
      </w:r>
      <w:r w:rsidR="00C92A6D">
        <w:t xml:space="preserve">in the template to enable aggregation of data – however, note that in some instances, the </w:t>
      </w:r>
      <w:r w:rsidR="00296289">
        <w:t>standardised rationale categor</w:t>
      </w:r>
      <w:r w:rsidR="00AD12E6">
        <w:t>ies</w:t>
      </w:r>
      <w:r w:rsidR="00296289">
        <w:t xml:space="preserve"> would need to be broader</w:t>
      </w:r>
      <w:r w:rsidR="00AD12E6">
        <w:t>/more granular</w:t>
      </w:r>
      <w:r w:rsidR="00296289">
        <w:t xml:space="preserve"> </w:t>
      </w:r>
      <w:r w:rsidR="006075CA">
        <w:t>than what is currently expected</w:t>
      </w:r>
      <w:r w:rsidR="005925CF">
        <w:t xml:space="preserve">, </w:t>
      </w:r>
      <w:proofErr w:type="gramStart"/>
      <w:r w:rsidR="005925CF">
        <w:t>in order</w:t>
      </w:r>
      <w:r w:rsidR="006075CA">
        <w:t xml:space="preserve"> </w:t>
      </w:r>
      <w:r w:rsidR="00296289">
        <w:t>to</w:t>
      </w:r>
      <w:proofErr w:type="gramEnd"/>
      <w:r w:rsidR="00296289">
        <w:t xml:space="preserve"> be meaningful</w:t>
      </w:r>
      <w:r w:rsidR="000A0E1C">
        <w:t xml:space="preserve"> (for instance, categorising </w:t>
      </w:r>
      <w:r w:rsidR="005E2836">
        <w:t>vote decisions</w:t>
      </w:r>
      <w:r w:rsidR="009B5207">
        <w:t xml:space="preserve"> on climate</w:t>
      </w:r>
      <w:r w:rsidR="005E2836">
        <w:t xml:space="preserve"> resolutions</w:t>
      </w:r>
      <w:r w:rsidR="009B5207">
        <w:t xml:space="preserve"> as ‘environment’ </w:t>
      </w:r>
      <w:r w:rsidR="005E2836">
        <w:t>(</w:t>
      </w:r>
      <w:r w:rsidR="0089514B">
        <w:t>meaning poor performance on environment</w:t>
      </w:r>
      <w:r w:rsidR="005E2836">
        <w:t>)</w:t>
      </w:r>
      <w:r w:rsidR="0089514B">
        <w:t xml:space="preserve"> </w:t>
      </w:r>
      <w:r w:rsidR="009B5207">
        <w:t xml:space="preserve">would not be helpful). </w:t>
      </w:r>
      <w:r w:rsidR="00072757">
        <w:t xml:space="preserve">Common reasons </w:t>
      </w:r>
      <w:r w:rsidR="00623E17">
        <w:t>for</w:t>
      </w:r>
      <w:r w:rsidR="00072757">
        <w:t xml:space="preserve"> </w:t>
      </w:r>
      <w:r w:rsidR="00623E17">
        <w:t>vote against</w:t>
      </w:r>
      <w:r w:rsidR="005A5BD7">
        <w:t xml:space="preserve"> </w:t>
      </w:r>
      <w:r w:rsidR="00623E17">
        <w:t>resolutions should be captured</w:t>
      </w:r>
      <w:r w:rsidR="004C407E">
        <w:t xml:space="preserve"> in the standardised rationale categor</w:t>
      </w:r>
      <w:r w:rsidR="005066C4">
        <w:t xml:space="preserve">ies, </w:t>
      </w:r>
      <w:r w:rsidR="001A39EF">
        <w:t>e.g.,</w:t>
      </w:r>
      <w:r w:rsidR="005066C4">
        <w:t xml:space="preserve"> </w:t>
      </w:r>
      <w:r w:rsidR="00376D25">
        <w:t>‘</w:t>
      </w:r>
      <w:r w:rsidR="00623E17">
        <w:t>over-prescriptiveness</w:t>
      </w:r>
      <w:r w:rsidR="00376D25">
        <w:t>’</w:t>
      </w:r>
      <w:r w:rsidR="00623E17">
        <w:t xml:space="preserve"> or </w:t>
      </w:r>
      <w:r w:rsidR="00376D25">
        <w:t>‘</w:t>
      </w:r>
      <w:r w:rsidR="00D44FBD">
        <w:t>already incorporated in reporting</w:t>
      </w:r>
      <w:r w:rsidR="00376D25">
        <w:t>’</w:t>
      </w:r>
      <w:r w:rsidR="00086D94">
        <w:t xml:space="preserve"> etc. </w:t>
      </w:r>
      <w:r w:rsidR="00D44FBD">
        <w:t xml:space="preserve"> </w:t>
      </w:r>
    </w:p>
    <w:p w14:paraId="10F00EC8" w14:textId="59CC1189" w:rsidR="006E470B" w:rsidRDefault="006E470B" w:rsidP="008A281A">
      <w:pPr>
        <w:pStyle w:val="ListParagraph"/>
        <w:numPr>
          <w:ilvl w:val="0"/>
          <w:numId w:val="1"/>
        </w:numPr>
      </w:pPr>
      <w:r>
        <w:t xml:space="preserve">We agree </w:t>
      </w:r>
      <w:r w:rsidR="003D18AC">
        <w:t>with the inclusion of the</w:t>
      </w:r>
      <w:r>
        <w:t xml:space="preserve"> </w:t>
      </w:r>
      <w:r w:rsidR="003D18AC">
        <w:t>‘</w:t>
      </w:r>
      <w:r>
        <w:t xml:space="preserve">narrative </w:t>
      </w:r>
      <w:r w:rsidR="003D18AC">
        <w:t>rationale’ fi</w:t>
      </w:r>
      <w:r w:rsidR="00EE74DB">
        <w:t xml:space="preserve">eld that would provide an explanation of </w:t>
      </w:r>
      <w:r w:rsidR="00D728AC">
        <w:t>the vote decision in the context of the manager’s voting policy.</w:t>
      </w:r>
    </w:p>
    <w:p w14:paraId="6A71BFBA" w14:textId="56EE05F5" w:rsidR="0051645E" w:rsidRDefault="0051645E" w:rsidP="008A281A">
      <w:pPr>
        <w:pStyle w:val="ListParagraph"/>
        <w:numPr>
          <w:ilvl w:val="0"/>
          <w:numId w:val="1"/>
        </w:numPr>
      </w:pPr>
      <w:r>
        <w:t xml:space="preserve">Further guidance is required from the </w:t>
      </w:r>
      <w:r w:rsidR="008D539B">
        <w:t>Vote reporting Group/</w:t>
      </w:r>
      <w:r>
        <w:t xml:space="preserve">FCA </w:t>
      </w:r>
      <w:r w:rsidR="00B83893">
        <w:t xml:space="preserve">on the voting rationale fields to ensure that </w:t>
      </w:r>
      <w:r w:rsidR="007A2DFC">
        <w:t>there is a level of common understanding on ‘</w:t>
      </w:r>
      <w:r w:rsidR="00B83893">
        <w:rPr>
          <w:rFonts w:eastAsia="Times New Roman"/>
        </w:rPr>
        <w:t>minimum expectations</w:t>
      </w:r>
      <w:r w:rsidR="007A2DFC">
        <w:rPr>
          <w:rFonts w:eastAsia="Times New Roman"/>
        </w:rPr>
        <w:t>’</w:t>
      </w:r>
      <w:r w:rsidR="00B83893">
        <w:rPr>
          <w:rFonts w:eastAsia="Times New Roman"/>
        </w:rPr>
        <w:t xml:space="preserve"> on disclosure</w:t>
      </w:r>
      <w:r w:rsidR="007A2DFC">
        <w:rPr>
          <w:rFonts w:eastAsia="Times New Roman"/>
        </w:rPr>
        <w:t xml:space="preserve">. </w:t>
      </w:r>
    </w:p>
    <w:p w14:paraId="3C503F05" w14:textId="4F6C2BAA" w:rsidR="003D3501" w:rsidRDefault="003D3501" w:rsidP="008A281A">
      <w:pPr>
        <w:pStyle w:val="ListParagraph"/>
        <w:numPr>
          <w:ilvl w:val="0"/>
          <w:numId w:val="1"/>
        </w:numPr>
      </w:pPr>
      <w:r>
        <w:t>We support the inclusion of information on engagement activity</w:t>
      </w:r>
      <w:r w:rsidR="00032413">
        <w:t xml:space="preserve">. </w:t>
      </w:r>
      <w:r w:rsidR="00795A7F">
        <w:t xml:space="preserve">It clarifies the interconnectedness of </w:t>
      </w:r>
      <w:r w:rsidR="003204BB">
        <w:t xml:space="preserve">engagement and vote decisions and how one reinforces the other </w:t>
      </w:r>
      <w:r w:rsidR="00E6692B">
        <w:t xml:space="preserve">as part of a robust stewardship strategy. </w:t>
      </w:r>
      <w:r w:rsidR="00D86C1A">
        <w:t>We would</w:t>
      </w:r>
      <w:r w:rsidR="003F07D4">
        <w:t>, however,</w:t>
      </w:r>
      <w:r w:rsidR="00D86C1A">
        <w:t xml:space="preserve"> welcome further information on engagement activity</w:t>
      </w:r>
      <w:r w:rsidR="00C05E12">
        <w:t xml:space="preserve"> undertaken (</w:t>
      </w:r>
      <w:r w:rsidR="006536F7">
        <w:t xml:space="preserve">beyond </w:t>
      </w:r>
      <w:r w:rsidR="00C05E12">
        <w:t xml:space="preserve">just the type) </w:t>
      </w:r>
      <w:r w:rsidR="00D86C1A">
        <w:t xml:space="preserve">in the narrative </w:t>
      </w:r>
      <w:r w:rsidR="00450FCF">
        <w:t xml:space="preserve">rationale field. </w:t>
      </w:r>
    </w:p>
    <w:p w14:paraId="722647CB" w14:textId="77777777" w:rsidR="007A2DFC" w:rsidRDefault="007A2DFC" w:rsidP="005A5BD7">
      <w:pPr>
        <w:pStyle w:val="ListParagraph"/>
        <w:ind w:left="765"/>
      </w:pPr>
    </w:p>
    <w:p w14:paraId="44103F87" w14:textId="77777777" w:rsidR="007A2DFC" w:rsidRDefault="007A2DFC" w:rsidP="007A2DFC">
      <w:pPr>
        <w:pStyle w:val="ListParagraph"/>
        <w:ind w:left="765"/>
      </w:pPr>
    </w:p>
    <w:p w14:paraId="1BAC16FE" w14:textId="0BBEA775" w:rsidR="00A91FED" w:rsidRDefault="00B37710" w:rsidP="007A2DFC">
      <w:pPr>
        <w:pStyle w:val="ListParagraph"/>
        <w:numPr>
          <w:ilvl w:val="0"/>
          <w:numId w:val="1"/>
        </w:numPr>
      </w:pPr>
      <w:r>
        <w:t xml:space="preserve">We recommend that the FCA holds ownership of the vote reporting template. </w:t>
      </w:r>
      <w:r w:rsidR="007D1812">
        <w:t>The FCA</w:t>
      </w:r>
      <w:r w:rsidR="007D1812">
        <w:rPr>
          <w:rFonts w:eastAsia="Times New Roman"/>
        </w:rPr>
        <w:t xml:space="preserve"> could charge regulated firms a levy to cover costs involved. </w:t>
      </w:r>
      <w:r w:rsidR="00D6751A">
        <w:t>Third party or NGO involvement could present issues around conflicts of interest.</w:t>
      </w:r>
    </w:p>
    <w:p w14:paraId="29385BCA" w14:textId="5B78D705" w:rsidR="000D5B89" w:rsidRPr="00CA7904" w:rsidRDefault="00B76959" w:rsidP="00CA7904">
      <w:pPr>
        <w:pStyle w:val="ListParagraph"/>
        <w:numPr>
          <w:ilvl w:val="0"/>
          <w:numId w:val="1"/>
        </w:numPr>
      </w:pPr>
      <w:r>
        <w:t xml:space="preserve">To </w:t>
      </w:r>
      <w:r w:rsidR="00B37710">
        <w:t>be effective</w:t>
      </w:r>
      <w:r>
        <w:t xml:space="preserve"> and </w:t>
      </w:r>
      <w:r w:rsidR="00696AC3">
        <w:t xml:space="preserve">of </w:t>
      </w:r>
      <w:r w:rsidR="00BC4763">
        <w:t>high-quality</w:t>
      </w:r>
      <w:r w:rsidR="00B37710">
        <w:t xml:space="preserve">, </w:t>
      </w:r>
      <w:r w:rsidR="00CA1D5C">
        <w:t xml:space="preserve">the </w:t>
      </w:r>
      <w:r w:rsidR="00DF3ADA">
        <w:t xml:space="preserve">proposed </w:t>
      </w:r>
      <w:r w:rsidR="00CA1D5C">
        <w:t xml:space="preserve">disclosures would need to become mandatory and require appropriate oversight and monitoring. </w:t>
      </w:r>
      <w:r w:rsidR="00E90C41">
        <w:t xml:space="preserve">However, </w:t>
      </w:r>
      <w:r w:rsidR="005240AE">
        <w:t xml:space="preserve">it </w:t>
      </w:r>
      <w:r w:rsidR="00BA6386">
        <w:t>would be</w:t>
      </w:r>
      <w:r w:rsidR="008C7961">
        <w:t xml:space="preserve"> reasonable </w:t>
      </w:r>
      <w:r w:rsidR="005240AE">
        <w:t>to launch a pilot</w:t>
      </w:r>
      <w:r w:rsidR="00BA6386">
        <w:t xml:space="preserve"> (on a voluntary basis)</w:t>
      </w:r>
      <w:r w:rsidR="005240AE">
        <w:t xml:space="preserve"> in the first year to capture key learnings</w:t>
      </w:r>
      <w:r w:rsidR="008C7961">
        <w:t xml:space="preserve"> and</w:t>
      </w:r>
      <w:r w:rsidR="005240AE">
        <w:t xml:space="preserve"> </w:t>
      </w:r>
      <w:r w:rsidR="002905B8">
        <w:t>challenges</w:t>
      </w:r>
      <w:r w:rsidR="008C7961">
        <w:t xml:space="preserve"> </w:t>
      </w:r>
      <w:r w:rsidR="00BE086D">
        <w:t xml:space="preserve">and incorporate revisions based on feedback from the respondents and </w:t>
      </w:r>
      <w:r w:rsidR="00114ECD">
        <w:t xml:space="preserve">interested parties </w:t>
      </w:r>
      <w:r w:rsidR="00752210">
        <w:t>across the investment chain</w:t>
      </w:r>
      <w:r w:rsidR="002905B8">
        <w:t xml:space="preserve">. </w:t>
      </w:r>
      <w:proofErr w:type="gramStart"/>
      <w:r w:rsidR="00CA7904">
        <w:t>In particular, w</w:t>
      </w:r>
      <w:r w:rsidR="000D5B89">
        <w:t>e</w:t>
      </w:r>
      <w:proofErr w:type="gramEnd"/>
      <w:r w:rsidR="000D5B89">
        <w:t xml:space="preserve"> recommend that FCA</w:t>
      </w:r>
      <w:r w:rsidR="000D5B89" w:rsidRPr="00CA7904">
        <w:rPr>
          <w:rFonts w:eastAsia="Times New Roman"/>
        </w:rPr>
        <w:t xml:space="preserve"> consult with proxy advisers in advance of the implementation of the template given their prominent role in the voting chain. </w:t>
      </w:r>
    </w:p>
    <w:p w14:paraId="5C3E9B6C" w14:textId="24EA279A" w:rsidR="0074280C" w:rsidRDefault="00643BDE" w:rsidP="00084487">
      <w:pPr>
        <w:pStyle w:val="ListParagraph"/>
        <w:numPr>
          <w:ilvl w:val="0"/>
          <w:numId w:val="1"/>
        </w:numPr>
      </w:pPr>
      <w:r>
        <w:rPr>
          <w:rFonts w:eastAsia="Times New Roman"/>
        </w:rPr>
        <w:t>We are in support of the public disclosure of the template but recognise that a phased approach may be a preferrab</w:t>
      </w:r>
      <w:r w:rsidR="00DE203F">
        <w:rPr>
          <w:rFonts w:eastAsia="Times New Roman"/>
        </w:rPr>
        <w:t>le</w:t>
      </w:r>
      <w:r>
        <w:rPr>
          <w:rFonts w:eastAsia="Times New Roman"/>
        </w:rPr>
        <w:t xml:space="preserve"> for smaller asset managers. </w:t>
      </w:r>
      <w:r w:rsidR="00311439">
        <w:rPr>
          <w:rFonts w:eastAsia="Times New Roman"/>
        </w:rPr>
        <w:t>It is important</w:t>
      </w:r>
      <w:r w:rsidR="00C016FF">
        <w:rPr>
          <w:rFonts w:eastAsia="Times New Roman"/>
        </w:rPr>
        <w:t>, however,</w:t>
      </w:r>
      <w:r w:rsidR="00311439">
        <w:rPr>
          <w:rFonts w:eastAsia="Times New Roman"/>
        </w:rPr>
        <w:t xml:space="preserve"> that </w:t>
      </w:r>
      <w:r w:rsidR="00C016FF">
        <w:rPr>
          <w:rFonts w:eastAsia="Times New Roman"/>
        </w:rPr>
        <w:t>any</w:t>
      </w:r>
      <w:r w:rsidR="00311439">
        <w:rPr>
          <w:rFonts w:eastAsia="Times New Roman"/>
        </w:rPr>
        <w:t xml:space="preserve"> </w:t>
      </w:r>
      <w:r w:rsidR="00C016FF">
        <w:rPr>
          <w:rFonts w:eastAsia="Times New Roman"/>
        </w:rPr>
        <w:t xml:space="preserve">flexibility granted is time-limited and does not remove the impetus for enhanced transparency. </w:t>
      </w:r>
    </w:p>
    <w:p w14:paraId="073BCABF" w14:textId="18D4577D" w:rsidR="00A7080A" w:rsidRDefault="0053511A" w:rsidP="00084487">
      <w:r>
        <w:t>In the context of this consultation, we would like to draw the vote reporting group’s attention to the work of the UK asset owner</w:t>
      </w:r>
      <w:r w:rsidR="00CF034B">
        <w:t xml:space="preserve"> RI</w:t>
      </w:r>
      <w:r>
        <w:t xml:space="preserve"> roundtable</w:t>
      </w:r>
      <w:r w:rsidR="00E63682">
        <w:t xml:space="preserve"> (a peer group collaboration with over 40 asset owners)</w:t>
      </w:r>
      <w:r w:rsidR="00EE341E">
        <w:t xml:space="preserve"> which is currently chaired by our Chief Responsible Investment Officer, Faith Ward</w:t>
      </w:r>
      <w:r>
        <w:t xml:space="preserve">. </w:t>
      </w:r>
      <w:r w:rsidR="005932C6">
        <w:t xml:space="preserve">This asset owner group has commissioned research to understand the misalignments </w:t>
      </w:r>
      <w:r w:rsidR="00BF550A">
        <w:t xml:space="preserve">between asset owners’ and asset managers’ voting </w:t>
      </w:r>
      <w:r w:rsidR="00201384">
        <w:t>activities</w:t>
      </w:r>
      <w:r w:rsidR="00DE5893">
        <w:t xml:space="preserve"> and approach</w:t>
      </w:r>
      <w:r w:rsidR="00201384">
        <w:t>es</w:t>
      </w:r>
      <w:r w:rsidR="00550D37">
        <w:t>.</w:t>
      </w:r>
      <w:r w:rsidR="00E63682">
        <w:t xml:space="preserve"> </w:t>
      </w:r>
      <w:r w:rsidR="00EE341E">
        <w:t>T</w:t>
      </w:r>
      <w:r w:rsidR="00E87C6F">
        <w:t>he research</w:t>
      </w:r>
      <w:r w:rsidR="00EE341E">
        <w:t xml:space="preserve"> uses</w:t>
      </w:r>
      <w:r w:rsidR="00EE341E" w:rsidRPr="00E87C6F">
        <w:t xml:space="preserve"> the oil and gas sector as a critical exampl</w:t>
      </w:r>
      <w:r w:rsidR="00EE341E">
        <w:t>e</w:t>
      </w:r>
      <w:r w:rsidR="00E87C6F">
        <w:t xml:space="preserve"> </w:t>
      </w:r>
      <w:r w:rsidR="00EE341E">
        <w:t>to</w:t>
      </w:r>
      <w:r w:rsidR="00E87C6F" w:rsidRPr="00E87C6F">
        <w:t xml:space="preserve"> highlight the challenges and complexities of investing and exercising stewardship through the energy transition</w:t>
      </w:r>
      <w:r w:rsidR="00E87C6F">
        <w:t>.</w:t>
      </w:r>
      <w:r w:rsidR="00856E8E">
        <w:t xml:space="preserve"> </w:t>
      </w:r>
      <w:r w:rsidR="004B43AC" w:rsidRPr="004B43AC">
        <w:t xml:space="preserve">Further details on the project can be found here on our </w:t>
      </w:r>
      <w:hyperlink r:id="rId10" w:history="1">
        <w:r w:rsidR="004B43AC" w:rsidRPr="000F1ACF">
          <w:rPr>
            <w:rStyle w:val="Hyperlink"/>
          </w:rPr>
          <w:t>webpage</w:t>
        </w:r>
      </w:hyperlink>
      <w:r w:rsidR="004B43AC" w:rsidRPr="004B43AC">
        <w:t xml:space="preserve">. </w:t>
      </w:r>
      <w:r w:rsidR="00CF472A">
        <w:t xml:space="preserve">We will share the findings of this research </w:t>
      </w:r>
      <w:r w:rsidR="00EE341E">
        <w:t xml:space="preserve">with the group and FCA once published </w:t>
      </w:r>
      <w:r w:rsidR="00597A6E">
        <w:t xml:space="preserve">on 12 October. </w:t>
      </w:r>
    </w:p>
    <w:p w14:paraId="2C16E151" w14:textId="77777777" w:rsidR="00E63682" w:rsidRDefault="00E63682" w:rsidP="00084487"/>
    <w:p w14:paraId="487F4AA1" w14:textId="4B703E67" w:rsidR="00024172" w:rsidRDefault="00F07C2F" w:rsidP="00084487">
      <w:r>
        <w:t>Vaishnavi Ravishankar</w:t>
      </w:r>
    </w:p>
    <w:p w14:paraId="3E696E64" w14:textId="1FBF3850" w:rsidR="006B692B" w:rsidRDefault="006B692B" w:rsidP="00084487">
      <w:r>
        <w:t>Head of Stewardship</w:t>
      </w:r>
    </w:p>
    <w:p w14:paraId="012CCB5B" w14:textId="16FCA9BD" w:rsidR="006B692B" w:rsidRDefault="006B692B" w:rsidP="00084487">
      <w:r>
        <w:t>Brunel Pension Partnership</w:t>
      </w:r>
    </w:p>
    <w:sectPr w:rsidR="006B692B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FD2E7" w14:textId="77777777" w:rsidR="00EC651D" w:rsidRDefault="00EC651D" w:rsidP="00084487">
      <w:pPr>
        <w:spacing w:after="0" w:line="240" w:lineRule="auto"/>
      </w:pPr>
      <w:r>
        <w:separator/>
      </w:r>
    </w:p>
  </w:endnote>
  <w:endnote w:type="continuationSeparator" w:id="0">
    <w:p w14:paraId="34CEF176" w14:textId="77777777" w:rsidR="00EC651D" w:rsidRDefault="00EC651D" w:rsidP="00084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EBA2C" w14:textId="77777777" w:rsidR="00084487" w:rsidRPr="00342A94" w:rsidRDefault="00084487" w:rsidP="00084487">
    <w:pPr>
      <w:pStyle w:val="Footer"/>
      <w:jc w:val="both"/>
      <w:rPr>
        <w:rFonts w:ascii="Century Gothic" w:hAnsi="Century Gothic" w:cs="Calibri"/>
        <w:b/>
        <w:bCs/>
        <w:i/>
        <w:iCs/>
        <w:color w:val="402746"/>
        <w:sz w:val="14"/>
        <w:szCs w:val="14"/>
      </w:rPr>
    </w:pPr>
    <w:bookmarkStart w:id="0" w:name="_Hlk48642732"/>
    <w:r w:rsidRPr="00342A94">
      <w:rPr>
        <w:rFonts w:ascii="Century Gothic" w:hAnsi="Century Gothic" w:cs="Calibri"/>
        <w:b/>
        <w:bCs/>
        <w:i/>
        <w:iCs/>
        <w:color w:val="402746"/>
        <w:sz w:val="14"/>
        <w:szCs w:val="14"/>
      </w:rPr>
      <w:t>Forging better futures by investing for a world worth living in</w:t>
    </w:r>
  </w:p>
  <w:p w14:paraId="71992071" w14:textId="77777777" w:rsidR="00084487" w:rsidRDefault="001A39EF" w:rsidP="00084487">
    <w:pPr>
      <w:pStyle w:val="Footer"/>
      <w:jc w:val="right"/>
      <w:rPr>
        <w:rFonts w:ascii="Century Gothic" w:hAnsi="Century Gothic"/>
        <w:noProof/>
      </w:rPr>
    </w:pPr>
    <w:sdt>
      <w:sdtPr>
        <w:rPr>
          <w:rFonts w:ascii="Century Gothic" w:hAnsi="Century Gothic"/>
        </w:rPr>
        <w:id w:val="28385676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84487" w:rsidRPr="004744F4">
          <w:rPr>
            <w:rFonts w:ascii="Century Gothic" w:hAnsi="Century Gothic"/>
            <w:b/>
            <w:bCs/>
            <w:color w:val="402746"/>
            <w:sz w:val="14"/>
            <w:szCs w:val="14"/>
          </w:rPr>
          <w:t xml:space="preserve">Authorised and regulated by the Financial Conduct Authority No. 790168 </w:t>
        </w:r>
        <w:bookmarkStart w:id="1" w:name="_Hlk519588993"/>
      </w:sdtContent>
    </w:sdt>
    <w:bookmarkEnd w:id="1"/>
  </w:p>
  <w:p w14:paraId="1A7E9600" w14:textId="77777777" w:rsidR="00084487" w:rsidRPr="00084487" w:rsidRDefault="00084487" w:rsidP="00084487">
    <w:pPr>
      <w:pStyle w:val="Footer"/>
      <w:rPr>
        <w:rFonts w:ascii="Century Gothic" w:hAnsi="Century Gothic"/>
        <w:b/>
        <w:bCs/>
        <w:color w:val="402746"/>
        <w:sz w:val="14"/>
        <w:szCs w:val="14"/>
      </w:rPr>
    </w:pPr>
    <w:r w:rsidRPr="004744F4">
      <w:rPr>
        <w:rFonts w:ascii="Century Gothic" w:hAnsi="Century Gothic"/>
        <w:b/>
        <w:bCs/>
        <w:color w:val="402746"/>
        <w:sz w:val="14"/>
        <w:szCs w:val="14"/>
      </w:rPr>
      <w:t>Brunel Pension Partnership Limited is registered in England and Wales (company no. 10429110)</w:t>
    </w:r>
    <w:r>
      <w:rPr>
        <w:rFonts w:ascii="Century Gothic" w:hAnsi="Century Gothic"/>
        <w:b/>
        <w:bCs/>
        <w:color w:val="402746"/>
        <w:sz w:val="14"/>
        <w:szCs w:val="14"/>
      </w:rPr>
      <w:br/>
    </w:r>
    <w:r w:rsidRPr="00481225">
      <w:rPr>
        <w:rFonts w:ascii="Century Gothic" w:hAnsi="Century Gothic"/>
        <w:b/>
        <w:bCs/>
        <w:color w:val="402746"/>
        <w:sz w:val="14"/>
        <w:szCs w:val="14"/>
      </w:rPr>
      <w:t>Registered office: 5</w:t>
    </w:r>
    <w:r w:rsidRPr="00481225">
      <w:rPr>
        <w:rFonts w:ascii="Century Gothic" w:hAnsi="Century Gothic"/>
        <w:b/>
        <w:bCs/>
        <w:color w:val="402746"/>
        <w:sz w:val="14"/>
        <w:szCs w:val="14"/>
        <w:vertAlign w:val="superscript"/>
      </w:rPr>
      <w:t>th</w:t>
    </w:r>
    <w:r w:rsidRPr="00481225">
      <w:rPr>
        <w:rFonts w:ascii="Century Gothic" w:hAnsi="Century Gothic"/>
        <w:b/>
        <w:bCs/>
        <w:color w:val="402746"/>
        <w:sz w:val="14"/>
        <w:szCs w:val="14"/>
      </w:rPr>
      <w:t xml:space="preserve"> Floor, 101 Victoria Street, Bristol, BS1 </w:t>
    </w:r>
    <w:proofErr w:type="gramStart"/>
    <w:r w:rsidRPr="00481225">
      <w:rPr>
        <w:rFonts w:ascii="Century Gothic" w:hAnsi="Century Gothic"/>
        <w:b/>
        <w:bCs/>
        <w:color w:val="402746"/>
        <w:sz w:val="14"/>
        <w:szCs w:val="14"/>
      </w:rPr>
      <w:t>6PU</w:t>
    </w:r>
    <w:bookmarkEnd w:id="0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9CDED" w14:textId="77777777" w:rsidR="00EC651D" w:rsidRDefault="00EC651D" w:rsidP="00084487">
      <w:pPr>
        <w:spacing w:after="0" w:line="240" w:lineRule="auto"/>
      </w:pPr>
      <w:r>
        <w:separator/>
      </w:r>
    </w:p>
  </w:footnote>
  <w:footnote w:type="continuationSeparator" w:id="0">
    <w:p w14:paraId="78271B25" w14:textId="77777777" w:rsidR="00EC651D" w:rsidRDefault="00EC651D" w:rsidP="00084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D35F2" w14:textId="77777777" w:rsidR="00084487" w:rsidRDefault="00084487" w:rsidP="00084487">
    <w:pPr>
      <w:pStyle w:val="Header"/>
      <w:jc w:val="center"/>
    </w:pPr>
    <w:r w:rsidRPr="00BC072A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03E6C02" wp14:editId="25C27141">
          <wp:simplePos x="0" y="0"/>
          <wp:positionH relativeFrom="margin">
            <wp:align>center</wp:align>
          </wp:positionH>
          <wp:positionV relativeFrom="paragraph">
            <wp:posOffset>-445135</wp:posOffset>
          </wp:positionV>
          <wp:extent cx="1389600" cy="1004400"/>
          <wp:effectExtent l="0" t="0" r="1270" b="5715"/>
          <wp:wrapSquare wrapText="bothSides"/>
          <wp:docPr id="48" name="Picture 48" descr="Brunel small white logo-03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Brunel small white logo-03-04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600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F098B"/>
    <w:multiLevelType w:val="hybridMultilevel"/>
    <w:tmpl w:val="8CC8475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6C194C43"/>
    <w:multiLevelType w:val="hybridMultilevel"/>
    <w:tmpl w:val="F49E0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134691">
    <w:abstractNumId w:val="0"/>
  </w:num>
  <w:num w:numId="2" w16cid:durableId="427046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60C"/>
    <w:rsid w:val="000018D9"/>
    <w:rsid w:val="00005A6B"/>
    <w:rsid w:val="00024172"/>
    <w:rsid w:val="00032413"/>
    <w:rsid w:val="00042543"/>
    <w:rsid w:val="00045BD1"/>
    <w:rsid w:val="00060EE8"/>
    <w:rsid w:val="00072757"/>
    <w:rsid w:val="000778F8"/>
    <w:rsid w:val="00082599"/>
    <w:rsid w:val="00084487"/>
    <w:rsid w:val="00086D94"/>
    <w:rsid w:val="00097460"/>
    <w:rsid w:val="000A0E1C"/>
    <w:rsid w:val="000A1D9F"/>
    <w:rsid w:val="000A6FCA"/>
    <w:rsid w:val="000B1858"/>
    <w:rsid w:val="000D5B89"/>
    <w:rsid w:val="000F1ACF"/>
    <w:rsid w:val="000F5874"/>
    <w:rsid w:val="0010158F"/>
    <w:rsid w:val="00114ECD"/>
    <w:rsid w:val="0011652D"/>
    <w:rsid w:val="00162B1E"/>
    <w:rsid w:val="001904AE"/>
    <w:rsid w:val="00195E7B"/>
    <w:rsid w:val="001A39EF"/>
    <w:rsid w:val="001A443A"/>
    <w:rsid w:val="001D2FA3"/>
    <w:rsid w:val="001D33BF"/>
    <w:rsid w:val="001D4680"/>
    <w:rsid w:val="001E0743"/>
    <w:rsid w:val="001E233B"/>
    <w:rsid w:val="001F57B4"/>
    <w:rsid w:val="00201384"/>
    <w:rsid w:val="0020649A"/>
    <w:rsid w:val="00210D54"/>
    <w:rsid w:val="002172BD"/>
    <w:rsid w:val="00250B0B"/>
    <w:rsid w:val="00256E3F"/>
    <w:rsid w:val="002905B8"/>
    <w:rsid w:val="00296289"/>
    <w:rsid w:val="002B0D2F"/>
    <w:rsid w:val="002B29BA"/>
    <w:rsid w:val="002D2F8D"/>
    <w:rsid w:val="002E2F4C"/>
    <w:rsid w:val="00311439"/>
    <w:rsid w:val="003140D7"/>
    <w:rsid w:val="003155F4"/>
    <w:rsid w:val="003204BB"/>
    <w:rsid w:val="00321991"/>
    <w:rsid w:val="003428E1"/>
    <w:rsid w:val="00350894"/>
    <w:rsid w:val="00376D25"/>
    <w:rsid w:val="0038098F"/>
    <w:rsid w:val="003850D7"/>
    <w:rsid w:val="003851F8"/>
    <w:rsid w:val="003D18AC"/>
    <w:rsid w:val="003D3501"/>
    <w:rsid w:val="003F07D4"/>
    <w:rsid w:val="003F585A"/>
    <w:rsid w:val="004075DD"/>
    <w:rsid w:val="004171D6"/>
    <w:rsid w:val="0044529D"/>
    <w:rsid w:val="00450FCF"/>
    <w:rsid w:val="004572F2"/>
    <w:rsid w:val="00460955"/>
    <w:rsid w:val="00462C8E"/>
    <w:rsid w:val="0047582A"/>
    <w:rsid w:val="00486A38"/>
    <w:rsid w:val="004949BF"/>
    <w:rsid w:val="004B43AC"/>
    <w:rsid w:val="004C407E"/>
    <w:rsid w:val="005066C4"/>
    <w:rsid w:val="0051645E"/>
    <w:rsid w:val="005240AE"/>
    <w:rsid w:val="00534512"/>
    <w:rsid w:val="0053511A"/>
    <w:rsid w:val="00550D37"/>
    <w:rsid w:val="0057015C"/>
    <w:rsid w:val="0057692E"/>
    <w:rsid w:val="005925CF"/>
    <w:rsid w:val="005932C6"/>
    <w:rsid w:val="00594317"/>
    <w:rsid w:val="00597A6E"/>
    <w:rsid w:val="005A5BD7"/>
    <w:rsid w:val="005D2826"/>
    <w:rsid w:val="005D54DF"/>
    <w:rsid w:val="005E2836"/>
    <w:rsid w:val="005F1CCB"/>
    <w:rsid w:val="006075CA"/>
    <w:rsid w:val="00612731"/>
    <w:rsid w:val="0062161B"/>
    <w:rsid w:val="00623E17"/>
    <w:rsid w:val="00626523"/>
    <w:rsid w:val="00643BDE"/>
    <w:rsid w:val="006536F7"/>
    <w:rsid w:val="00696AC3"/>
    <w:rsid w:val="006B504D"/>
    <w:rsid w:val="006B692B"/>
    <w:rsid w:val="006B7000"/>
    <w:rsid w:val="006C0A22"/>
    <w:rsid w:val="006D0E55"/>
    <w:rsid w:val="006D1D9D"/>
    <w:rsid w:val="006E470B"/>
    <w:rsid w:val="0071488F"/>
    <w:rsid w:val="00735235"/>
    <w:rsid w:val="007401BA"/>
    <w:rsid w:val="0074280C"/>
    <w:rsid w:val="00752210"/>
    <w:rsid w:val="00782892"/>
    <w:rsid w:val="00795A7F"/>
    <w:rsid w:val="007A2DFC"/>
    <w:rsid w:val="007D1812"/>
    <w:rsid w:val="007D7291"/>
    <w:rsid w:val="007E3566"/>
    <w:rsid w:val="008216D2"/>
    <w:rsid w:val="00856E8E"/>
    <w:rsid w:val="008579B0"/>
    <w:rsid w:val="00871E46"/>
    <w:rsid w:val="0087260C"/>
    <w:rsid w:val="0089514B"/>
    <w:rsid w:val="008A281A"/>
    <w:rsid w:val="008C068D"/>
    <w:rsid w:val="008C1BB3"/>
    <w:rsid w:val="008C7961"/>
    <w:rsid w:val="008D539B"/>
    <w:rsid w:val="008E2079"/>
    <w:rsid w:val="00925B40"/>
    <w:rsid w:val="00936967"/>
    <w:rsid w:val="00945CB5"/>
    <w:rsid w:val="00952BFF"/>
    <w:rsid w:val="0096306F"/>
    <w:rsid w:val="00987DF7"/>
    <w:rsid w:val="009A2F6C"/>
    <w:rsid w:val="009B0878"/>
    <w:rsid w:val="009B5207"/>
    <w:rsid w:val="009D4490"/>
    <w:rsid w:val="009E298C"/>
    <w:rsid w:val="009F63EE"/>
    <w:rsid w:val="00A10C47"/>
    <w:rsid w:val="00A6523A"/>
    <w:rsid w:val="00A7080A"/>
    <w:rsid w:val="00A87B3C"/>
    <w:rsid w:val="00A91FED"/>
    <w:rsid w:val="00AA49BC"/>
    <w:rsid w:val="00AC1AA8"/>
    <w:rsid w:val="00AC1BD0"/>
    <w:rsid w:val="00AD0477"/>
    <w:rsid w:val="00AD12E6"/>
    <w:rsid w:val="00AE15C3"/>
    <w:rsid w:val="00B005BE"/>
    <w:rsid w:val="00B23C46"/>
    <w:rsid w:val="00B37710"/>
    <w:rsid w:val="00B468B9"/>
    <w:rsid w:val="00B517B5"/>
    <w:rsid w:val="00B6029F"/>
    <w:rsid w:val="00B75AB0"/>
    <w:rsid w:val="00B76959"/>
    <w:rsid w:val="00B83893"/>
    <w:rsid w:val="00B94D6E"/>
    <w:rsid w:val="00BA4FA0"/>
    <w:rsid w:val="00BA6386"/>
    <w:rsid w:val="00BC4451"/>
    <w:rsid w:val="00BC4763"/>
    <w:rsid w:val="00BE086D"/>
    <w:rsid w:val="00BF550A"/>
    <w:rsid w:val="00C016FF"/>
    <w:rsid w:val="00C05E12"/>
    <w:rsid w:val="00C10A6F"/>
    <w:rsid w:val="00C252F9"/>
    <w:rsid w:val="00C3431F"/>
    <w:rsid w:val="00C457C3"/>
    <w:rsid w:val="00C62343"/>
    <w:rsid w:val="00C67DB4"/>
    <w:rsid w:val="00C71035"/>
    <w:rsid w:val="00C84301"/>
    <w:rsid w:val="00C91A14"/>
    <w:rsid w:val="00C92A6D"/>
    <w:rsid w:val="00CA1D5C"/>
    <w:rsid w:val="00CA7904"/>
    <w:rsid w:val="00CC6D55"/>
    <w:rsid w:val="00CD38EB"/>
    <w:rsid w:val="00CF034B"/>
    <w:rsid w:val="00CF472A"/>
    <w:rsid w:val="00D40504"/>
    <w:rsid w:val="00D44FBD"/>
    <w:rsid w:val="00D51CEC"/>
    <w:rsid w:val="00D6751A"/>
    <w:rsid w:val="00D728AC"/>
    <w:rsid w:val="00D803A2"/>
    <w:rsid w:val="00D86C1A"/>
    <w:rsid w:val="00DA437D"/>
    <w:rsid w:val="00DD3A6A"/>
    <w:rsid w:val="00DE203F"/>
    <w:rsid w:val="00DE5893"/>
    <w:rsid w:val="00DF3ADA"/>
    <w:rsid w:val="00E0550D"/>
    <w:rsid w:val="00E32DA6"/>
    <w:rsid w:val="00E63682"/>
    <w:rsid w:val="00E6692B"/>
    <w:rsid w:val="00E87C6F"/>
    <w:rsid w:val="00E90C41"/>
    <w:rsid w:val="00EA2624"/>
    <w:rsid w:val="00EC651D"/>
    <w:rsid w:val="00ED5AEA"/>
    <w:rsid w:val="00EE341E"/>
    <w:rsid w:val="00EE6720"/>
    <w:rsid w:val="00EE74DB"/>
    <w:rsid w:val="00EF775A"/>
    <w:rsid w:val="00F07C2F"/>
    <w:rsid w:val="00F37D66"/>
    <w:rsid w:val="00F53E55"/>
    <w:rsid w:val="00F578BA"/>
    <w:rsid w:val="00F6043A"/>
    <w:rsid w:val="00F64CB9"/>
    <w:rsid w:val="00FA199C"/>
    <w:rsid w:val="00FD19FC"/>
    <w:rsid w:val="00FF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3F029"/>
  <w15:chartTrackingRefBased/>
  <w15:docId w15:val="{E4994F80-CAFA-48BB-B16F-2A9AB6B5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4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487"/>
  </w:style>
  <w:style w:type="paragraph" w:styleId="Footer">
    <w:name w:val="footer"/>
    <w:basedOn w:val="Normal"/>
    <w:link w:val="FooterChar"/>
    <w:uiPriority w:val="99"/>
    <w:unhideWhenUsed/>
    <w:rsid w:val="00084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487"/>
  </w:style>
  <w:style w:type="paragraph" w:styleId="ListParagraph">
    <w:name w:val="List Paragraph"/>
    <w:basedOn w:val="Normal"/>
    <w:uiPriority w:val="34"/>
    <w:qFormat/>
    <w:rsid w:val="006127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43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430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F1A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7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brunelpensionpartnership.org/2023/05/17/opening-a-constructive-dialogue-are-short-term-considerations-eclipsing-the-long-term-interests-of-pension-fund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brunelpp.sharepoint.com/sites/BrunelIntranet/Brunel%20Assets/New%20Word%20doc%20with%20logo_Gener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594CD842B16945BD0D714538AC0FFB" ma:contentTypeVersion="10" ma:contentTypeDescription="Create a new document." ma:contentTypeScope="" ma:versionID="c6c6af61319ac38ba674972758b27272">
  <xsd:schema xmlns:xsd="http://www.w3.org/2001/XMLSchema" xmlns:xs="http://www.w3.org/2001/XMLSchema" xmlns:p="http://schemas.microsoft.com/office/2006/metadata/properties" xmlns:ns2="3419b71c-3a6d-4def-bb8f-5f3616186bc7" xmlns:ns3="a06af3a4-65f4-44aa-b975-839a2c88f011" targetNamespace="http://schemas.microsoft.com/office/2006/metadata/properties" ma:root="true" ma:fieldsID="78ffe875f38bd7e81ad052b6196cdb2e" ns2:_="" ns3:_="">
    <xsd:import namespace="3419b71c-3a6d-4def-bb8f-5f3616186bc7"/>
    <xsd:import namespace="a06af3a4-65f4-44aa-b975-839a2c88f0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9b71c-3a6d-4def-bb8f-5f3616186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15a94fe-8423-4890-bab4-97fa22e490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6af3a4-65f4-44aa-b975-839a2c88f01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bc17256-2059-4441-9792-5643375b238b}" ma:internalName="TaxCatchAll" ma:showField="CatchAllData" ma:web="a06af3a4-65f4-44aa-b975-839a2c88f0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19b71c-3a6d-4def-bb8f-5f3616186bc7">
      <Terms xmlns="http://schemas.microsoft.com/office/infopath/2007/PartnerControls"/>
    </lcf76f155ced4ddcb4097134ff3c332f>
    <TaxCatchAll xmlns="a06af3a4-65f4-44aa-b975-839a2c88f011" xsi:nil="true"/>
  </documentManagement>
</p:properties>
</file>

<file path=customXml/itemProps1.xml><?xml version="1.0" encoding="utf-8"?>
<ds:datastoreItem xmlns:ds="http://schemas.openxmlformats.org/officeDocument/2006/customXml" ds:itemID="{4DA7211D-BED4-4834-BE22-BBCD01B09D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993E30-6D27-4218-A642-941765279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19b71c-3a6d-4def-bb8f-5f3616186bc7"/>
    <ds:schemaRef ds:uri="a06af3a4-65f4-44aa-b975-839a2c88f0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411C6E-BFCC-4AD6-ADD7-25620DCDEDCC}">
  <ds:schemaRefs>
    <ds:schemaRef ds:uri="http://schemas.microsoft.com/office/2006/metadata/properties"/>
    <ds:schemaRef ds:uri="http://schemas.microsoft.com/office/infopath/2007/PartnerControls"/>
    <ds:schemaRef ds:uri="3419b71c-3a6d-4def-bb8f-5f3616186bc7"/>
    <ds:schemaRef ds:uri="a06af3a4-65f4-44aa-b975-839a2c88f0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New%20Word%20doc%20with%20logo_General</Template>
  <TotalTime>868</TotalTime>
  <Pages>2</Pages>
  <Words>808</Words>
  <Characters>4610</Characters>
  <Application>Microsoft Office Word</Application>
  <DocSecurity>0</DocSecurity>
  <Lines>38</Lines>
  <Paragraphs>10</Paragraphs>
  <ScaleCrop>false</ScaleCrop>
  <Company/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Vaishnavi Ravishankar</dc:creator>
  <cp:keywords/>
  <dc:description/>
  <cp:lastModifiedBy>Vaishnavi Ravishankar</cp:lastModifiedBy>
  <cp:revision>215</cp:revision>
  <dcterms:created xsi:type="dcterms:W3CDTF">2023-09-19T21:16:00Z</dcterms:created>
  <dcterms:modified xsi:type="dcterms:W3CDTF">2023-09-21T13:42:00Z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0x0101003C594CD842B16945BD0D714538AC0FFB</vt:lpwstr>
  </property>
</Properties>
</file>